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155B" w14:textId="2429CD31" w:rsidR="00F83B09" w:rsidRPr="005907A3" w:rsidRDefault="003C5D1F" w:rsidP="005907A3">
      <w:pPr>
        <w:rPr>
          <w:b/>
          <w:sz w:val="32"/>
          <w:szCs w:val="32"/>
        </w:rPr>
      </w:pPr>
      <w:r>
        <w:rPr>
          <w:b/>
          <w:sz w:val="32"/>
          <w:szCs w:val="32"/>
        </w:rPr>
        <w:t>POLICY AND GUIDELINES</w:t>
      </w:r>
      <w:bookmarkStart w:id="0" w:name="_GoBack"/>
      <w:bookmarkEnd w:id="0"/>
    </w:p>
    <w:p w14:paraId="553E980A" w14:textId="30805D12" w:rsidR="00622ADF" w:rsidRDefault="00622ADF" w:rsidP="00622ADF">
      <w:pPr>
        <w:shd w:val="clear" w:color="auto" w:fill="FFFFFF"/>
        <w:spacing w:after="0" w:line="240" w:lineRule="auto"/>
        <w:textAlignment w:val="baseline"/>
        <w:rPr>
          <w:rFonts w:ascii="Century Gothic" w:eastAsia="Times New Roman" w:hAnsi="Century Gothic" w:cs="Times New Roman"/>
          <w:color w:val="6F6F6F"/>
          <w:sz w:val="20"/>
          <w:szCs w:val="20"/>
          <w:lang w:eastAsia="en-ZA"/>
        </w:rPr>
      </w:pPr>
    </w:p>
    <w:p w14:paraId="477F3BAD" w14:textId="2F82E66A" w:rsidR="00622ADF" w:rsidRPr="00F83B09" w:rsidRDefault="00622ADF" w:rsidP="00622ADF">
      <w:pPr>
        <w:shd w:val="clear" w:color="auto" w:fill="FFFFFF"/>
        <w:spacing w:after="0" w:line="240" w:lineRule="auto"/>
        <w:textAlignment w:val="baseline"/>
        <w:rPr>
          <w:rFonts w:ascii="Century Gothic" w:eastAsia="Times New Roman" w:hAnsi="Century Gothic" w:cs="Times New Roman"/>
          <w:b/>
          <w:color w:val="6F6F6F"/>
          <w:sz w:val="20"/>
          <w:szCs w:val="20"/>
          <w:lang w:eastAsia="en-ZA"/>
        </w:rPr>
      </w:pPr>
      <w:r w:rsidRPr="00F83B09">
        <w:rPr>
          <w:rFonts w:ascii="Century Gothic" w:eastAsia="Times New Roman" w:hAnsi="Century Gothic" w:cs="Times New Roman"/>
          <w:b/>
          <w:color w:val="6F6F6F"/>
          <w:sz w:val="20"/>
          <w:szCs w:val="20"/>
          <w:lang w:eastAsia="en-ZA"/>
        </w:rPr>
        <w:t>Important links</w:t>
      </w:r>
    </w:p>
    <w:p w14:paraId="4BCE3C69" w14:textId="77777777" w:rsidR="00F83B09" w:rsidRDefault="00F83B09" w:rsidP="00622ADF">
      <w:pPr>
        <w:shd w:val="clear" w:color="auto" w:fill="FFFFFF"/>
        <w:spacing w:after="0" w:line="240" w:lineRule="auto"/>
        <w:textAlignment w:val="baseline"/>
        <w:rPr>
          <w:rFonts w:ascii="Century Gothic" w:eastAsia="Times New Roman" w:hAnsi="Century Gothic" w:cs="Times New Roman"/>
          <w:color w:val="6F6F6F"/>
          <w:sz w:val="20"/>
          <w:szCs w:val="20"/>
          <w:lang w:eastAsia="en-ZA"/>
        </w:rPr>
      </w:pPr>
    </w:p>
    <w:tbl>
      <w:tblPr>
        <w:tblStyle w:val="TableGrid"/>
        <w:tblW w:w="0" w:type="auto"/>
        <w:tblLook w:val="04A0" w:firstRow="1" w:lastRow="0" w:firstColumn="1" w:lastColumn="0" w:noHBand="0" w:noVBand="1"/>
      </w:tblPr>
      <w:tblGrid>
        <w:gridCol w:w="4673"/>
        <w:gridCol w:w="1276"/>
        <w:gridCol w:w="3067"/>
      </w:tblGrid>
      <w:tr w:rsidR="001A6142" w14:paraId="6BD76BBE" w14:textId="2F10355F" w:rsidTr="001A6142">
        <w:tc>
          <w:tcPr>
            <w:tcW w:w="5949" w:type="dxa"/>
            <w:gridSpan w:val="2"/>
          </w:tcPr>
          <w:p w14:paraId="1D2692B8" w14:textId="201746BB" w:rsidR="001A6142" w:rsidRPr="00F83B09" w:rsidRDefault="001A6142" w:rsidP="00622ADF">
            <w:pPr>
              <w:textAlignment w:val="baseline"/>
              <w:rPr>
                <w:rFonts w:ascii="Century Gothic" w:eastAsia="Times New Roman" w:hAnsi="Century Gothic" w:cs="Times New Roman"/>
                <w:b/>
                <w:color w:val="6F6F6F"/>
                <w:sz w:val="20"/>
                <w:szCs w:val="20"/>
                <w:lang w:eastAsia="en-ZA"/>
              </w:rPr>
            </w:pPr>
            <w:r>
              <w:rPr>
                <w:rFonts w:ascii="Century Gothic" w:eastAsia="Times New Roman" w:hAnsi="Century Gothic" w:cs="Times New Roman"/>
                <w:b/>
                <w:color w:val="6F6F6F"/>
                <w:sz w:val="20"/>
                <w:szCs w:val="20"/>
                <w:lang w:eastAsia="en-ZA"/>
              </w:rPr>
              <w:t>Application form</w:t>
            </w:r>
          </w:p>
        </w:tc>
        <w:tc>
          <w:tcPr>
            <w:tcW w:w="3067" w:type="dxa"/>
          </w:tcPr>
          <w:p w14:paraId="1BDC527C" w14:textId="2A5BC38A" w:rsidR="001A6142" w:rsidRDefault="001A6142" w:rsidP="00622ADF">
            <w:pPr>
              <w:textAlignment w:val="baseline"/>
              <w:rPr>
                <w:rFonts w:ascii="Century Gothic" w:eastAsia="Times New Roman" w:hAnsi="Century Gothic" w:cs="Times New Roman"/>
                <w:b/>
                <w:color w:val="6F6F6F"/>
                <w:sz w:val="20"/>
                <w:szCs w:val="20"/>
                <w:lang w:eastAsia="en-ZA"/>
              </w:rPr>
            </w:pPr>
            <w:r>
              <w:rPr>
                <w:rFonts w:ascii="Century Gothic" w:eastAsia="Times New Roman" w:hAnsi="Century Gothic" w:cs="Times New Roman"/>
                <w:b/>
                <w:color w:val="6F6F6F"/>
                <w:sz w:val="20"/>
                <w:szCs w:val="20"/>
                <w:lang w:eastAsia="en-ZA"/>
              </w:rPr>
              <w:t>Comments</w:t>
            </w:r>
          </w:p>
        </w:tc>
      </w:tr>
      <w:tr w:rsidR="001A6142" w14:paraId="6AD28769" w14:textId="6E5511C5" w:rsidTr="001A6142">
        <w:tc>
          <w:tcPr>
            <w:tcW w:w="4673" w:type="dxa"/>
            <w:vAlign w:val="bottom"/>
          </w:tcPr>
          <w:p w14:paraId="424D3C21" w14:textId="7A9EF763" w:rsidR="001A6142" w:rsidRDefault="001A6142" w:rsidP="00F83B09">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Examination Guidelines Policy (Form 255) </w:t>
            </w:r>
          </w:p>
        </w:tc>
        <w:tc>
          <w:tcPr>
            <w:tcW w:w="1276" w:type="dxa"/>
          </w:tcPr>
          <w:p w14:paraId="28088B3E" w14:textId="15CC5273" w:rsidR="001A6142" w:rsidRDefault="001A6142" w:rsidP="00F83B09">
            <w:pPr>
              <w:textAlignment w:val="baseline"/>
              <w:rPr>
                <w:rFonts w:ascii="Century Gothic" w:eastAsia="Times New Roman" w:hAnsi="Century Gothic" w:cs="Times New Roman"/>
                <w:color w:val="6F6F6F"/>
                <w:sz w:val="20"/>
                <w:szCs w:val="20"/>
                <w:lang w:eastAsia="en-ZA"/>
              </w:rPr>
            </w:pPr>
            <w:hyperlink r:id="rId5" w:history="1">
              <w:r w:rsidRPr="00F83B09">
                <w:rPr>
                  <w:rStyle w:val="Hyperlink"/>
                  <w:rFonts w:ascii="Century Gothic" w:eastAsia="Times New Roman" w:hAnsi="Century Gothic" w:cs="Times New Roman"/>
                  <w:sz w:val="20"/>
                  <w:szCs w:val="20"/>
                  <w:lang w:eastAsia="en-ZA"/>
                </w:rPr>
                <w:t>Form 255</w:t>
              </w:r>
            </w:hyperlink>
          </w:p>
        </w:tc>
        <w:tc>
          <w:tcPr>
            <w:tcW w:w="3067" w:type="dxa"/>
          </w:tcPr>
          <w:p w14:paraId="5097B1A5" w14:textId="7526EE45" w:rsidR="001A6142" w:rsidRDefault="00B02019" w:rsidP="00F83B09">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Description of the Board examination and what is required by the candidate. Includes a reading list and instructions for disabled candidates</w:t>
            </w:r>
          </w:p>
        </w:tc>
      </w:tr>
      <w:tr w:rsidR="001A6142" w14:paraId="29DC3EEF" w14:textId="502180B8" w:rsidTr="001A6142">
        <w:tc>
          <w:tcPr>
            <w:tcW w:w="4673" w:type="dxa"/>
            <w:vAlign w:val="bottom"/>
          </w:tcPr>
          <w:p w14:paraId="12DDC97E" w14:textId="107C0F98"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List of classified tests (Form 207)</w:t>
            </w:r>
          </w:p>
        </w:tc>
        <w:tc>
          <w:tcPr>
            <w:tcW w:w="1276" w:type="dxa"/>
          </w:tcPr>
          <w:p w14:paraId="618797ED" w14:textId="18B7E648" w:rsidR="001A6142" w:rsidRDefault="001A6142" w:rsidP="001A6142">
            <w:pPr>
              <w:textAlignment w:val="baseline"/>
              <w:rPr>
                <w:rFonts w:ascii="Century Gothic" w:eastAsia="Times New Roman" w:hAnsi="Century Gothic" w:cs="Times New Roman"/>
                <w:color w:val="6F6F6F"/>
                <w:sz w:val="20"/>
                <w:szCs w:val="20"/>
                <w:lang w:eastAsia="en-ZA"/>
              </w:rPr>
            </w:pPr>
            <w:hyperlink r:id="rId6" w:history="1">
              <w:r w:rsidRPr="00F83B09">
                <w:rPr>
                  <w:rStyle w:val="Hyperlink"/>
                  <w:rFonts w:ascii="Century Gothic" w:eastAsia="Times New Roman" w:hAnsi="Century Gothic" w:cs="Times New Roman"/>
                  <w:sz w:val="20"/>
                  <w:szCs w:val="20"/>
                  <w:lang w:eastAsia="en-ZA"/>
                </w:rPr>
                <w:t>Form 207</w:t>
              </w:r>
            </w:hyperlink>
          </w:p>
        </w:tc>
        <w:tc>
          <w:tcPr>
            <w:tcW w:w="3067" w:type="dxa"/>
          </w:tcPr>
          <w:p w14:paraId="3053F36D" w14:textId="7D6B2A80"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A list of tests that are certified. These tests may be used by registered psychologists</w:t>
            </w:r>
          </w:p>
        </w:tc>
      </w:tr>
      <w:tr w:rsidR="001A6142" w14:paraId="699EE882" w14:textId="1FAE7B9C" w:rsidTr="001A6142">
        <w:tc>
          <w:tcPr>
            <w:tcW w:w="4673" w:type="dxa"/>
            <w:vAlign w:val="bottom"/>
          </w:tcPr>
          <w:p w14:paraId="01671684" w14:textId="026EFAD0"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Generic ethical rules and annexure 12</w:t>
            </w:r>
          </w:p>
        </w:tc>
        <w:tc>
          <w:tcPr>
            <w:tcW w:w="1276" w:type="dxa"/>
          </w:tcPr>
          <w:p w14:paraId="6AD78890" w14:textId="3F4FCCA9" w:rsidR="001A6142" w:rsidRDefault="001A6142" w:rsidP="001A6142">
            <w:pPr>
              <w:textAlignment w:val="baseline"/>
              <w:rPr>
                <w:rFonts w:ascii="Century Gothic" w:eastAsia="Times New Roman" w:hAnsi="Century Gothic" w:cs="Times New Roman"/>
                <w:color w:val="6F6F6F"/>
                <w:sz w:val="20"/>
                <w:szCs w:val="20"/>
                <w:lang w:eastAsia="en-ZA"/>
              </w:rPr>
            </w:pPr>
            <w:hyperlink r:id="rId7" w:history="1">
              <w:r w:rsidRPr="00F83B09">
                <w:rPr>
                  <w:rStyle w:val="Hyperlink"/>
                  <w:rFonts w:ascii="Century Gothic" w:eastAsia="Times New Roman" w:hAnsi="Century Gothic" w:cs="Times New Roman"/>
                  <w:sz w:val="20"/>
                  <w:szCs w:val="20"/>
                  <w:lang w:eastAsia="en-ZA"/>
                </w:rPr>
                <w:t>Annexure 12</w:t>
              </w:r>
            </w:hyperlink>
          </w:p>
        </w:tc>
        <w:tc>
          <w:tcPr>
            <w:tcW w:w="3067" w:type="dxa"/>
          </w:tcPr>
          <w:p w14:paraId="03C8CF71" w14:textId="063D9F55"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Ethical rules pertaining to registered psychologists</w:t>
            </w:r>
            <w:r w:rsidR="003225ED">
              <w:rPr>
                <w:rFonts w:ascii="Century Gothic" w:eastAsia="Times New Roman" w:hAnsi="Century Gothic" w:cs="Times New Roman"/>
                <w:color w:val="6F6F6F"/>
                <w:sz w:val="20"/>
                <w:szCs w:val="20"/>
                <w:lang w:eastAsia="en-ZA"/>
              </w:rPr>
              <w:t>. Includes business-related rules</w:t>
            </w:r>
          </w:p>
        </w:tc>
      </w:tr>
      <w:tr w:rsidR="001A6142" w14:paraId="521F5733" w14:textId="49CAC544" w:rsidTr="001A6142">
        <w:tc>
          <w:tcPr>
            <w:tcW w:w="4673" w:type="dxa"/>
            <w:vAlign w:val="bottom"/>
          </w:tcPr>
          <w:p w14:paraId="104AB3B2" w14:textId="7698A0B3"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Policy on the classification of psychometric measuring devices, instruments, methods and techniques (Form 208)</w:t>
            </w:r>
          </w:p>
        </w:tc>
        <w:tc>
          <w:tcPr>
            <w:tcW w:w="1276" w:type="dxa"/>
          </w:tcPr>
          <w:p w14:paraId="1CDC7FCB" w14:textId="1543594B" w:rsidR="001A6142" w:rsidRDefault="001A6142" w:rsidP="001A6142">
            <w:pPr>
              <w:textAlignment w:val="baseline"/>
              <w:rPr>
                <w:rFonts w:ascii="Century Gothic" w:eastAsia="Times New Roman" w:hAnsi="Century Gothic" w:cs="Times New Roman"/>
                <w:color w:val="6F6F6F"/>
                <w:sz w:val="20"/>
                <w:szCs w:val="20"/>
                <w:lang w:eastAsia="en-ZA"/>
              </w:rPr>
            </w:pPr>
            <w:hyperlink r:id="rId8" w:history="1">
              <w:r w:rsidRPr="00F83B09">
                <w:rPr>
                  <w:rStyle w:val="Hyperlink"/>
                  <w:rFonts w:ascii="Century Gothic" w:eastAsia="Times New Roman" w:hAnsi="Century Gothic" w:cs="Times New Roman"/>
                  <w:sz w:val="20"/>
                  <w:szCs w:val="20"/>
                  <w:lang w:eastAsia="en-ZA"/>
                </w:rPr>
                <w:t>Form 208</w:t>
              </w:r>
            </w:hyperlink>
          </w:p>
        </w:tc>
        <w:tc>
          <w:tcPr>
            <w:tcW w:w="3067" w:type="dxa"/>
          </w:tcPr>
          <w:p w14:paraId="02FEA9C8" w14:textId="25A16569" w:rsidR="001A6142" w:rsidRDefault="003225ED"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Rules regarding the use of testing and measuring devices</w:t>
            </w:r>
          </w:p>
        </w:tc>
      </w:tr>
      <w:tr w:rsidR="001A6142" w14:paraId="112188CE" w14:textId="7EC41C98" w:rsidTr="001A6142">
        <w:tc>
          <w:tcPr>
            <w:tcW w:w="4673" w:type="dxa"/>
            <w:vAlign w:val="bottom"/>
          </w:tcPr>
          <w:p w14:paraId="0932F1A1" w14:textId="5859FA80"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Revised policy on undesirable business practice (Form 286)</w:t>
            </w:r>
          </w:p>
        </w:tc>
        <w:tc>
          <w:tcPr>
            <w:tcW w:w="1276" w:type="dxa"/>
          </w:tcPr>
          <w:p w14:paraId="026C55BB" w14:textId="4A5CFD34" w:rsidR="001A6142" w:rsidRDefault="001A6142" w:rsidP="001A6142">
            <w:pPr>
              <w:textAlignment w:val="baseline"/>
              <w:rPr>
                <w:rFonts w:ascii="Century Gothic" w:eastAsia="Times New Roman" w:hAnsi="Century Gothic" w:cs="Times New Roman"/>
                <w:color w:val="6F6F6F"/>
                <w:sz w:val="20"/>
                <w:szCs w:val="20"/>
                <w:lang w:eastAsia="en-ZA"/>
              </w:rPr>
            </w:pPr>
            <w:hyperlink r:id="rId9" w:history="1">
              <w:r w:rsidRPr="00F83B09">
                <w:rPr>
                  <w:rStyle w:val="Hyperlink"/>
                  <w:rFonts w:ascii="Century Gothic" w:eastAsia="Times New Roman" w:hAnsi="Century Gothic" w:cs="Times New Roman"/>
                  <w:sz w:val="20"/>
                  <w:szCs w:val="20"/>
                  <w:lang w:eastAsia="en-ZA"/>
                </w:rPr>
                <w:t>Form 286</w:t>
              </w:r>
            </w:hyperlink>
          </w:p>
        </w:tc>
        <w:tc>
          <w:tcPr>
            <w:tcW w:w="3067" w:type="dxa"/>
          </w:tcPr>
          <w:p w14:paraId="4489E33D" w14:textId="65D5292E" w:rsidR="001A6142" w:rsidRDefault="003225ED"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Forms of business and business practices/admin in running a practice ae listed here</w:t>
            </w:r>
          </w:p>
        </w:tc>
      </w:tr>
      <w:tr w:rsidR="001A6142" w14:paraId="01DFC774" w14:textId="78DF7AD7" w:rsidTr="001A6142">
        <w:tc>
          <w:tcPr>
            <w:tcW w:w="4673" w:type="dxa"/>
            <w:vAlign w:val="bottom"/>
          </w:tcPr>
          <w:p w14:paraId="1967204D" w14:textId="0EEBDAA4"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Mental Health Act</w:t>
            </w:r>
          </w:p>
        </w:tc>
        <w:tc>
          <w:tcPr>
            <w:tcW w:w="1276" w:type="dxa"/>
          </w:tcPr>
          <w:p w14:paraId="244EE624" w14:textId="5B3C19F6" w:rsidR="001A6142" w:rsidRDefault="001A6142" w:rsidP="001A6142">
            <w:pPr>
              <w:textAlignment w:val="baseline"/>
              <w:rPr>
                <w:rFonts w:ascii="Century Gothic" w:eastAsia="Times New Roman" w:hAnsi="Century Gothic" w:cs="Times New Roman"/>
                <w:color w:val="6F6F6F"/>
                <w:sz w:val="20"/>
                <w:szCs w:val="20"/>
                <w:lang w:eastAsia="en-ZA"/>
              </w:rPr>
            </w:pPr>
            <w:hyperlink r:id="rId10" w:history="1">
              <w:proofErr w:type="spellStart"/>
              <w:r w:rsidRPr="00F83B09">
                <w:rPr>
                  <w:rStyle w:val="Hyperlink"/>
                  <w:rFonts w:ascii="Century Gothic" w:eastAsia="Times New Roman" w:hAnsi="Century Gothic" w:cs="Times New Roman"/>
                  <w:sz w:val="20"/>
                  <w:szCs w:val="20"/>
                  <w:lang w:eastAsia="en-ZA"/>
                </w:rPr>
                <w:t>MHAct</w:t>
              </w:r>
              <w:proofErr w:type="spellEnd"/>
            </w:hyperlink>
          </w:p>
        </w:tc>
        <w:tc>
          <w:tcPr>
            <w:tcW w:w="3067" w:type="dxa"/>
          </w:tcPr>
          <w:p w14:paraId="30788896" w14:textId="5E2D900C" w:rsidR="001A6142" w:rsidRDefault="003A050F"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 xml:space="preserve">Legalities, rights of patients, </w:t>
            </w:r>
            <w:proofErr w:type="spellStart"/>
            <w:r>
              <w:rPr>
                <w:rFonts w:ascii="Century Gothic" w:eastAsia="Times New Roman" w:hAnsi="Century Gothic" w:cs="Times New Roman"/>
                <w:color w:val="6F6F6F"/>
                <w:sz w:val="20"/>
                <w:szCs w:val="20"/>
                <w:lang w:eastAsia="en-ZA"/>
              </w:rPr>
              <w:t>typesof</w:t>
            </w:r>
            <w:proofErr w:type="spellEnd"/>
            <w:r>
              <w:rPr>
                <w:rFonts w:ascii="Century Gothic" w:eastAsia="Times New Roman" w:hAnsi="Century Gothic" w:cs="Times New Roman"/>
                <w:color w:val="6F6F6F"/>
                <w:sz w:val="20"/>
                <w:szCs w:val="20"/>
                <w:lang w:eastAsia="en-ZA"/>
              </w:rPr>
              <w:t xml:space="preserve"> mental health care (voluntary / assisted / involuntary / state / prisoners / disability</w:t>
            </w:r>
          </w:p>
        </w:tc>
      </w:tr>
      <w:tr w:rsidR="001A6142" w14:paraId="776DB211" w14:textId="1B1CAD59" w:rsidTr="001A6142">
        <w:tc>
          <w:tcPr>
            <w:tcW w:w="4673" w:type="dxa"/>
            <w:vAlign w:val="bottom"/>
          </w:tcPr>
          <w:p w14:paraId="30920C63" w14:textId="092F8CC4"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Child Justice Act</w:t>
            </w:r>
          </w:p>
        </w:tc>
        <w:tc>
          <w:tcPr>
            <w:tcW w:w="1276" w:type="dxa"/>
          </w:tcPr>
          <w:p w14:paraId="6DF1FC6C" w14:textId="3FC2C025" w:rsidR="001A6142" w:rsidRDefault="001A6142" w:rsidP="001A6142">
            <w:pPr>
              <w:textAlignment w:val="baseline"/>
              <w:rPr>
                <w:rFonts w:ascii="Century Gothic" w:eastAsia="Times New Roman" w:hAnsi="Century Gothic" w:cs="Times New Roman"/>
                <w:color w:val="6F6F6F"/>
                <w:sz w:val="20"/>
                <w:szCs w:val="20"/>
                <w:lang w:eastAsia="en-ZA"/>
              </w:rPr>
            </w:pPr>
            <w:hyperlink r:id="rId11" w:history="1">
              <w:proofErr w:type="spellStart"/>
              <w:r w:rsidRPr="00F83B09">
                <w:rPr>
                  <w:rStyle w:val="Hyperlink"/>
                  <w:rFonts w:ascii="Century Gothic" w:eastAsia="Times New Roman" w:hAnsi="Century Gothic" w:cs="Times New Roman"/>
                  <w:sz w:val="20"/>
                  <w:szCs w:val="20"/>
                  <w:lang w:eastAsia="en-ZA"/>
                </w:rPr>
                <w:t>CJAct</w:t>
              </w:r>
              <w:proofErr w:type="spellEnd"/>
            </w:hyperlink>
          </w:p>
        </w:tc>
        <w:tc>
          <w:tcPr>
            <w:tcW w:w="3067" w:type="dxa"/>
          </w:tcPr>
          <w:p w14:paraId="3632F46B" w14:textId="7DBB5775" w:rsidR="001A6142" w:rsidRDefault="003A050F"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Definition, applying the act, age determination, legal issues, release of child, placement of child, assessment of child, process to be followed, courts, sentencing, legal representation, appeals, records of conviction and sentence and general approaches</w:t>
            </w:r>
          </w:p>
        </w:tc>
      </w:tr>
      <w:tr w:rsidR="001A6142" w14:paraId="10580F55" w14:textId="5BD7727A" w:rsidTr="001A6142">
        <w:tc>
          <w:tcPr>
            <w:tcW w:w="4673" w:type="dxa"/>
            <w:vAlign w:val="bottom"/>
          </w:tcPr>
          <w:p w14:paraId="635DEF18" w14:textId="0037DDC0"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Basic Condition of Employment Act</w:t>
            </w:r>
          </w:p>
        </w:tc>
        <w:tc>
          <w:tcPr>
            <w:tcW w:w="1276" w:type="dxa"/>
          </w:tcPr>
          <w:p w14:paraId="25AA464F" w14:textId="4316D0AA" w:rsidR="001A6142" w:rsidRDefault="001A6142" w:rsidP="001A6142">
            <w:pPr>
              <w:textAlignment w:val="baseline"/>
              <w:rPr>
                <w:rFonts w:ascii="Century Gothic" w:eastAsia="Times New Roman" w:hAnsi="Century Gothic" w:cs="Times New Roman"/>
                <w:color w:val="6F6F6F"/>
                <w:sz w:val="20"/>
                <w:szCs w:val="20"/>
                <w:lang w:eastAsia="en-ZA"/>
              </w:rPr>
            </w:pPr>
            <w:hyperlink r:id="rId12" w:history="1">
              <w:proofErr w:type="spellStart"/>
              <w:r w:rsidRPr="00F83B09">
                <w:rPr>
                  <w:rStyle w:val="Hyperlink"/>
                  <w:rFonts w:ascii="Century Gothic" w:eastAsia="Times New Roman" w:hAnsi="Century Gothic" w:cs="Times New Roman"/>
                  <w:sz w:val="20"/>
                  <w:szCs w:val="20"/>
                  <w:lang w:eastAsia="en-ZA"/>
                </w:rPr>
                <w:t>BCEAct</w:t>
              </w:r>
              <w:proofErr w:type="spellEnd"/>
            </w:hyperlink>
          </w:p>
        </w:tc>
        <w:tc>
          <w:tcPr>
            <w:tcW w:w="3067" w:type="dxa"/>
          </w:tcPr>
          <w:p w14:paraId="734FA8B4" w14:textId="694C7B1C" w:rsidR="001A6142" w:rsidRDefault="003A050F"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Legal aspects to do with employment including leave, working hours, remuneration, termination of employment, conditions and enforcement</w:t>
            </w:r>
          </w:p>
        </w:tc>
      </w:tr>
      <w:tr w:rsidR="001A6142" w14:paraId="181284C2" w14:textId="5208014B" w:rsidTr="001A6142">
        <w:tc>
          <w:tcPr>
            <w:tcW w:w="4673" w:type="dxa"/>
            <w:vAlign w:val="bottom"/>
          </w:tcPr>
          <w:p w14:paraId="05FC0B23" w14:textId="7A42B81B"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Children's Act</w:t>
            </w:r>
          </w:p>
        </w:tc>
        <w:tc>
          <w:tcPr>
            <w:tcW w:w="1276" w:type="dxa"/>
          </w:tcPr>
          <w:p w14:paraId="3143FB75" w14:textId="60349E59" w:rsidR="001A6142" w:rsidRDefault="001A6142" w:rsidP="001A6142">
            <w:pPr>
              <w:textAlignment w:val="baseline"/>
              <w:rPr>
                <w:rFonts w:ascii="Century Gothic" w:eastAsia="Times New Roman" w:hAnsi="Century Gothic" w:cs="Times New Roman"/>
                <w:color w:val="6F6F6F"/>
                <w:sz w:val="20"/>
                <w:szCs w:val="20"/>
                <w:lang w:eastAsia="en-ZA"/>
              </w:rPr>
            </w:pPr>
            <w:hyperlink r:id="rId13" w:history="1">
              <w:proofErr w:type="spellStart"/>
              <w:r w:rsidRPr="00F83B09">
                <w:rPr>
                  <w:rStyle w:val="Hyperlink"/>
                  <w:rFonts w:ascii="Century Gothic" w:eastAsia="Times New Roman" w:hAnsi="Century Gothic" w:cs="Times New Roman"/>
                  <w:sz w:val="20"/>
                  <w:szCs w:val="20"/>
                  <w:lang w:eastAsia="en-ZA"/>
                </w:rPr>
                <w:t>CAct</w:t>
              </w:r>
              <w:proofErr w:type="spellEnd"/>
            </w:hyperlink>
          </w:p>
        </w:tc>
        <w:tc>
          <w:tcPr>
            <w:tcW w:w="3067" w:type="dxa"/>
          </w:tcPr>
          <w:p w14:paraId="1826767C" w14:textId="19523BEC" w:rsidR="001A6142" w:rsidRDefault="003A050F"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 xml:space="preserve">Includes parental responsibilities, </w:t>
            </w:r>
            <w:proofErr w:type="spellStart"/>
            <w:r>
              <w:rPr>
                <w:rFonts w:ascii="Century Gothic" w:eastAsia="Times New Roman" w:hAnsi="Century Gothic" w:cs="Times New Roman"/>
                <w:color w:val="6F6F6F"/>
                <w:sz w:val="20"/>
                <w:szCs w:val="20"/>
                <w:lang w:eastAsia="en-ZA"/>
              </w:rPr>
              <w:t>childrens</w:t>
            </w:r>
            <w:proofErr w:type="spellEnd"/>
            <w:r>
              <w:rPr>
                <w:rFonts w:ascii="Century Gothic" w:eastAsia="Times New Roman" w:hAnsi="Century Gothic" w:cs="Times New Roman"/>
                <w:color w:val="6F6F6F"/>
                <w:sz w:val="20"/>
                <w:szCs w:val="20"/>
                <w:lang w:eastAsia="en-ZA"/>
              </w:rPr>
              <w:t>’ court, partial care, early childhood development, protection of childre</w:t>
            </w:r>
            <w:r w:rsidR="00985086">
              <w:rPr>
                <w:rFonts w:ascii="Century Gothic" w:eastAsia="Times New Roman" w:hAnsi="Century Gothic" w:cs="Times New Roman"/>
                <w:color w:val="6F6F6F"/>
                <w:sz w:val="20"/>
                <w:szCs w:val="20"/>
                <w:lang w:eastAsia="en-ZA"/>
              </w:rPr>
              <w:t xml:space="preserve">n, intervention, alternative care including foster care, youth centres, adoption, child </w:t>
            </w:r>
            <w:r w:rsidR="00985086">
              <w:rPr>
                <w:rFonts w:ascii="Century Gothic" w:eastAsia="Times New Roman" w:hAnsi="Century Gothic" w:cs="Times New Roman"/>
                <w:color w:val="6F6F6F"/>
                <w:sz w:val="20"/>
                <w:szCs w:val="20"/>
                <w:lang w:eastAsia="en-ZA"/>
              </w:rPr>
              <w:lastRenderedPageBreak/>
              <w:t>abduction and trafficking and surrogate motherhood</w:t>
            </w:r>
          </w:p>
        </w:tc>
      </w:tr>
      <w:tr w:rsidR="001A6142" w14:paraId="67FD3B30" w14:textId="169C3D87" w:rsidTr="001A6142">
        <w:tc>
          <w:tcPr>
            <w:tcW w:w="4673" w:type="dxa"/>
            <w:vAlign w:val="bottom"/>
          </w:tcPr>
          <w:p w14:paraId="118A3042" w14:textId="6C9DEE33"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lastRenderedPageBreak/>
              <w:t>Criminal Procedure Act 51 of 1977</w:t>
            </w:r>
          </w:p>
        </w:tc>
        <w:tc>
          <w:tcPr>
            <w:tcW w:w="1276" w:type="dxa"/>
          </w:tcPr>
          <w:p w14:paraId="7D6A098C" w14:textId="5E3C3754" w:rsidR="001A6142" w:rsidRDefault="001A6142" w:rsidP="001A6142">
            <w:pPr>
              <w:textAlignment w:val="baseline"/>
              <w:rPr>
                <w:rFonts w:ascii="Century Gothic" w:eastAsia="Times New Roman" w:hAnsi="Century Gothic" w:cs="Times New Roman"/>
                <w:color w:val="6F6F6F"/>
                <w:sz w:val="20"/>
                <w:szCs w:val="20"/>
                <w:lang w:eastAsia="en-ZA"/>
              </w:rPr>
            </w:pPr>
            <w:hyperlink r:id="rId14" w:history="1">
              <w:proofErr w:type="spellStart"/>
              <w:r w:rsidRPr="00F83B09">
                <w:rPr>
                  <w:rStyle w:val="Hyperlink"/>
                  <w:rFonts w:ascii="Century Gothic" w:eastAsia="Times New Roman" w:hAnsi="Century Gothic" w:cs="Times New Roman"/>
                  <w:sz w:val="20"/>
                  <w:szCs w:val="20"/>
                  <w:lang w:eastAsia="en-ZA"/>
                </w:rPr>
                <w:t>CPAct</w:t>
              </w:r>
              <w:proofErr w:type="spellEnd"/>
            </w:hyperlink>
          </w:p>
        </w:tc>
        <w:tc>
          <w:tcPr>
            <w:tcW w:w="3067" w:type="dxa"/>
          </w:tcPr>
          <w:p w14:paraId="02F12CA7" w14:textId="4FA8D117" w:rsidR="001A6142" w:rsidRDefault="00985086"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Covers the legalities of arresting, prosecuting and incarcerating of persons undertaking illegal actions</w:t>
            </w:r>
          </w:p>
        </w:tc>
      </w:tr>
      <w:tr w:rsidR="001A6142" w14:paraId="4093896B" w14:textId="794AB684" w:rsidTr="001A6142">
        <w:tc>
          <w:tcPr>
            <w:tcW w:w="4673" w:type="dxa"/>
            <w:vAlign w:val="bottom"/>
          </w:tcPr>
          <w:p w14:paraId="4B8872AA" w14:textId="01C815A3"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Examination Policy (Form 255)</w:t>
            </w:r>
          </w:p>
        </w:tc>
        <w:tc>
          <w:tcPr>
            <w:tcW w:w="1276" w:type="dxa"/>
          </w:tcPr>
          <w:p w14:paraId="4CA3BCEC" w14:textId="54431427" w:rsidR="001A6142" w:rsidRDefault="001A6142" w:rsidP="001A6142">
            <w:pPr>
              <w:textAlignment w:val="baseline"/>
              <w:rPr>
                <w:rFonts w:ascii="Century Gothic" w:eastAsia="Times New Roman" w:hAnsi="Century Gothic" w:cs="Times New Roman"/>
                <w:color w:val="6F6F6F"/>
                <w:sz w:val="20"/>
                <w:szCs w:val="20"/>
                <w:lang w:eastAsia="en-ZA"/>
              </w:rPr>
            </w:pPr>
            <w:hyperlink r:id="rId15" w:history="1">
              <w:r w:rsidRPr="00F83B09">
                <w:rPr>
                  <w:rStyle w:val="Hyperlink"/>
                  <w:rFonts w:ascii="Century Gothic" w:eastAsia="Times New Roman" w:hAnsi="Century Gothic" w:cs="Times New Roman"/>
                  <w:sz w:val="20"/>
                  <w:szCs w:val="20"/>
                  <w:lang w:eastAsia="en-ZA"/>
                </w:rPr>
                <w:t>Form 255</w:t>
              </w:r>
            </w:hyperlink>
          </w:p>
        </w:tc>
        <w:tc>
          <w:tcPr>
            <w:tcW w:w="3067" w:type="dxa"/>
          </w:tcPr>
          <w:p w14:paraId="4248DA78" w14:textId="3C4DDDF9" w:rsidR="001A6142" w:rsidRDefault="00985086"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Description of the Board examination and what is required by the candidate. Includes a reading list and instructions for disabled candidates</w:t>
            </w:r>
          </w:p>
        </w:tc>
      </w:tr>
      <w:tr w:rsidR="001A6142" w14:paraId="38E584B0" w14:textId="7FF20961" w:rsidTr="001A6142">
        <w:tc>
          <w:tcPr>
            <w:tcW w:w="4673" w:type="dxa"/>
            <w:vAlign w:val="bottom"/>
          </w:tcPr>
          <w:p w14:paraId="2F43155D" w14:textId="73F2D279"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Health Professions Act</w:t>
            </w:r>
          </w:p>
        </w:tc>
        <w:tc>
          <w:tcPr>
            <w:tcW w:w="1276" w:type="dxa"/>
          </w:tcPr>
          <w:p w14:paraId="3B975D5D" w14:textId="225D6859" w:rsidR="001A6142" w:rsidRDefault="001A6142" w:rsidP="001A6142">
            <w:pPr>
              <w:textAlignment w:val="baseline"/>
              <w:rPr>
                <w:rFonts w:ascii="Century Gothic" w:eastAsia="Times New Roman" w:hAnsi="Century Gothic" w:cs="Times New Roman"/>
                <w:color w:val="6F6F6F"/>
                <w:sz w:val="20"/>
                <w:szCs w:val="20"/>
                <w:lang w:eastAsia="en-ZA"/>
              </w:rPr>
            </w:pPr>
            <w:hyperlink r:id="rId16" w:history="1">
              <w:proofErr w:type="spellStart"/>
              <w:r w:rsidRPr="00F83B09">
                <w:rPr>
                  <w:rStyle w:val="Hyperlink"/>
                  <w:rFonts w:ascii="Century Gothic" w:eastAsia="Times New Roman" w:hAnsi="Century Gothic" w:cs="Times New Roman"/>
                  <w:sz w:val="20"/>
                  <w:szCs w:val="20"/>
                  <w:lang w:eastAsia="en-ZA"/>
                </w:rPr>
                <w:t>HPAct</w:t>
              </w:r>
              <w:proofErr w:type="spellEnd"/>
            </w:hyperlink>
          </w:p>
        </w:tc>
        <w:tc>
          <w:tcPr>
            <w:tcW w:w="3067" w:type="dxa"/>
          </w:tcPr>
          <w:p w14:paraId="035EBBA3" w14:textId="6AA0E5A6" w:rsidR="001A6142" w:rsidRDefault="00985086"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 xml:space="preserve">Regulations </w:t>
            </w:r>
            <w:r w:rsidR="00B02019">
              <w:rPr>
                <w:rFonts w:ascii="Century Gothic" w:eastAsia="Times New Roman" w:hAnsi="Century Gothic" w:cs="Times New Roman"/>
                <w:color w:val="6F6F6F"/>
                <w:sz w:val="20"/>
                <w:szCs w:val="20"/>
                <w:lang w:eastAsia="en-ZA"/>
              </w:rPr>
              <w:t>of education, training and registration and disciplinary action</w:t>
            </w:r>
          </w:p>
        </w:tc>
      </w:tr>
      <w:tr w:rsidR="001A6142" w14:paraId="50059688" w14:textId="6451172E" w:rsidTr="001A6142">
        <w:tc>
          <w:tcPr>
            <w:tcW w:w="4673" w:type="dxa"/>
            <w:vAlign w:val="bottom"/>
          </w:tcPr>
          <w:p w14:paraId="41A3D303" w14:textId="45815802"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HPCSA good practice guide (HIV)</w:t>
            </w:r>
          </w:p>
        </w:tc>
        <w:tc>
          <w:tcPr>
            <w:tcW w:w="1276" w:type="dxa"/>
          </w:tcPr>
          <w:p w14:paraId="44E2E8B1" w14:textId="5FCC7BD8" w:rsidR="001A6142" w:rsidRDefault="001A6142" w:rsidP="001A6142">
            <w:pPr>
              <w:textAlignment w:val="baseline"/>
              <w:rPr>
                <w:rFonts w:ascii="Century Gothic" w:eastAsia="Times New Roman" w:hAnsi="Century Gothic" w:cs="Times New Roman"/>
                <w:color w:val="6F6F6F"/>
                <w:sz w:val="20"/>
                <w:szCs w:val="20"/>
                <w:lang w:eastAsia="en-ZA"/>
              </w:rPr>
            </w:pPr>
            <w:hyperlink r:id="rId17" w:history="1">
              <w:r w:rsidRPr="00F83B09">
                <w:rPr>
                  <w:rStyle w:val="Hyperlink"/>
                  <w:rFonts w:ascii="Century Gothic" w:eastAsia="Times New Roman" w:hAnsi="Century Gothic" w:cs="Times New Roman"/>
                  <w:sz w:val="20"/>
                  <w:szCs w:val="20"/>
                  <w:lang w:eastAsia="en-ZA"/>
                </w:rPr>
                <w:t>Good practice</w:t>
              </w:r>
            </w:hyperlink>
          </w:p>
        </w:tc>
        <w:tc>
          <w:tcPr>
            <w:tcW w:w="3067" w:type="dxa"/>
          </w:tcPr>
          <w:p w14:paraId="15F33E0B" w14:textId="7924FC3A" w:rsidR="001A6142" w:rsidRDefault="00B02019"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 xml:space="preserve">Ethical guidelines for good business practices – specifically </w:t>
            </w:r>
            <w:proofErr w:type="spellStart"/>
            <w:r>
              <w:rPr>
                <w:rFonts w:ascii="Century Gothic" w:eastAsia="Times New Roman" w:hAnsi="Century Gothic" w:cs="Times New Roman"/>
                <w:color w:val="6F6F6F"/>
                <w:sz w:val="20"/>
                <w:szCs w:val="20"/>
                <w:lang w:eastAsia="en-ZA"/>
              </w:rPr>
              <w:t>wrt</w:t>
            </w:r>
            <w:proofErr w:type="spellEnd"/>
            <w:r>
              <w:rPr>
                <w:rFonts w:ascii="Century Gothic" w:eastAsia="Times New Roman" w:hAnsi="Century Gothic" w:cs="Times New Roman"/>
                <w:color w:val="6F6F6F"/>
                <w:sz w:val="20"/>
                <w:szCs w:val="20"/>
                <w:lang w:eastAsia="en-ZA"/>
              </w:rPr>
              <w:t xml:space="preserve"> HIV</w:t>
            </w:r>
          </w:p>
        </w:tc>
      </w:tr>
      <w:tr w:rsidR="001A6142" w14:paraId="673EED5B" w14:textId="2F9FE8EA" w:rsidTr="001A6142">
        <w:tc>
          <w:tcPr>
            <w:tcW w:w="4673" w:type="dxa"/>
            <w:vAlign w:val="bottom"/>
          </w:tcPr>
          <w:p w14:paraId="45FC92FE" w14:textId="0E1A0C70"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National Health Act</w:t>
            </w:r>
          </w:p>
        </w:tc>
        <w:tc>
          <w:tcPr>
            <w:tcW w:w="1276" w:type="dxa"/>
          </w:tcPr>
          <w:p w14:paraId="05A00726" w14:textId="114096A9" w:rsidR="001A6142" w:rsidRDefault="001A6142" w:rsidP="001A6142">
            <w:pPr>
              <w:textAlignment w:val="baseline"/>
              <w:rPr>
                <w:rFonts w:ascii="Century Gothic" w:eastAsia="Times New Roman" w:hAnsi="Century Gothic" w:cs="Times New Roman"/>
                <w:color w:val="6F6F6F"/>
                <w:sz w:val="20"/>
                <w:szCs w:val="20"/>
                <w:lang w:eastAsia="en-ZA"/>
              </w:rPr>
            </w:pPr>
            <w:hyperlink r:id="rId18" w:history="1">
              <w:proofErr w:type="spellStart"/>
              <w:r w:rsidRPr="00F83B09">
                <w:rPr>
                  <w:rStyle w:val="Hyperlink"/>
                  <w:rFonts w:ascii="Century Gothic" w:eastAsia="Times New Roman" w:hAnsi="Century Gothic" w:cs="Times New Roman"/>
                  <w:sz w:val="20"/>
                  <w:szCs w:val="20"/>
                  <w:lang w:eastAsia="en-ZA"/>
                </w:rPr>
                <w:t>NHAct</w:t>
              </w:r>
              <w:proofErr w:type="spellEnd"/>
            </w:hyperlink>
          </w:p>
        </w:tc>
        <w:tc>
          <w:tcPr>
            <w:tcW w:w="3067" w:type="dxa"/>
          </w:tcPr>
          <w:p w14:paraId="24B72656" w14:textId="50F92B9D" w:rsidR="001A6142" w:rsidRDefault="00B02019"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Rights and duties of public and providers, national, provincial and district health, types of health organisations, blood and tissue use, complaints procedures</w:t>
            </w:r>
          </w:p>
        </w:tc>
      </w:tr>
      <w:tr w:rsidR="001A6142" w14:paraId="18FDEA3E" w14:textId="2146761A" w:rsidTr="001A6142">
        <w:tc>
          <w:tcPr>
            <w:tcW w:w="4673" w:type="dxa"/>
            <w:vAlign w:val="bottom"/>
          </w:tcPr>
          <w:p w14:paraId="70D7F53F" w14:textId="185BD1A6" w:rsidR="001A6142" w:rsidRDefault="001A6142" w:rsidP="001A6142">
            <w:pPr>
              <w:textAlignment w:val="baseline"/>
              <w:rPr>
                <w:rFonts w:ascii="Century Gothic" w:eastAsia="Times New Roman" w:hAnsi="Century Gothic" w:cs="Times New Roman"/>
                <w:color w:val="6F6F6F"/>
                <w:sz w:val="20"/>
                <w:szCs w:val="20"/>
                <w:lang w:eastAsia="en-ZA"/>
              </w:rPr>
            </w:pPr>
            <w:r>
              <w:rPr>
                <w:rFonts w:ascii="Century Gothic" w:hAnsi="Century Gothic"/>
                <w:color w:val="6F6F6F"/>
                <w:sz w:val="20"/>
                <w:szCs w:val="20"/>
              </w:rPr>
              <w:t>Scope of Profession</w:t>
            </w:r>
          </w:p>
        </w:tc>
        <w:tc>
          <w:tcPr>
            <w:tcW w:w="1276" w:type="dxa"/>
          </w:tcPr>
          <w:p w14:paraId="27E861D5" w14:textId="5FD9324F" w:rsidR="001A6142" w:rsidRDefault="001A6142" w:rsidP="001A6142">
            <w:pPr>
              <w:textAlignment w:val="baseline"/>
              <w:rPr>
                <w:rFonts w:ascii="Century Gothic" w:eastAsia="Times New Roman" w:hAnsi="Century Gothic" w:cs="Times New Roman"/>
                <w:color w:val="6F6F6F"/>
                <w:sz w:val="20"/>
                <w:szCs w:val="20"/>
                <w:lang w:eastAsia="en-ZA"/>
              </w:rPr>
            </w:pPr>
            <w:hyperlink r:id="rId19" w:history="1">
              <w:r w:rsidRPr="00F83B09">
                <w:rPr>
                  <w:rStyle w:val="Hyperlink"/>
                  <w:rFonts w:ascii="Century Gothic" w:eastAsia="Times New Roman" w:hAnsi="Century Gothic" w:cs="Times New Roman"/>
                  <w:sz w:val="20"/>
                  <w:szCs w:val="20"/>
                  <w:lang w:eastAsia="en-ZA"/>
                </w:rPr>
                <w:t>Scope</w:t>
              </w:r>
            </w:hyperlink>
          </w:p>
        </w:tc>
        <w:tc>
          <w:tcPr>
            <w:tcW w:w="3067" w:type="dxa"/>
          </w:tcPr>
          <w:p w14:paraId="272D9A84" w14:textId="1FB231A2" w:rsidR="001A6142" w:rsidRDefault="00B02019"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 xml:space="preserve">Restrictions on what </w:t>
            </w:r>
            <w:proofErr w:type="spellStart"/>
            <w:r>
              <w:rPr>
                <w:rFonts w:ascii="Century Gothic" w:eastAsia="Times New Roman" w:hAnsi="Century Gothic" w:cs="Times New Roman"/>
                <w:color w:val="6F6F6F"/>
                <w:sz w:val="20"/>
                <w:szCs w:val="20"/>
                <w:lang w:eastAsia="en-ZA"/>
              </w:rPr>
              <w:t>si</w:t>
            </w:r>
            <w:proofErr w:type="spellEnd"/>
            <w:r>
              <w:rPr>
                <w:rFonts w:ascii="Century Gothic" w:eastAsia="Times New Roman" w:hAnsi="Century Gothic" w:cs="Times New Roman"/>
                <w:color w:val="6F6F6F"/>
                <w:sz w:val="20"/>
                <w:szCs w:val="20"/>
                <w:lang w:eastAsia="en-ZA"/>
              </w:rPr>
              <w:t xml:space="preserve"> involved in the practice of psychology</w:t>
            </w:r>
          </w:p>
        </w:tc>
      </w:tr>
      <w:tr w:rsidR="005907A3" w14:paraId="5F1293D5" w14:textId="77777777" w:rsidTr="001A6142">
        <w:tc>
          <w:tcPr>
            <w:tcW w:w="4673" w:type="dxa"/>
            <w:vAlign w:val="bottom"/>
          </w:tcPr>
          <w:p w14:paraId="61884F99" w14:textId="07FCB55C" w:rsidR="005907A3" w:rsidRDefault="005907A3" w:rsidP="001A6142">
            <w:pPr>
              <w:textAlignment w:val="baseline"/>
              <w:rPr>
                <w:rFonts w:ascii="Century Gothic" w:hAnsi="Century Gothic"/>
                <w:color w:val="6F6F6F"/>
                <w:sz w:val="20"/>
                <w:szCs w:val="20"/>
              </w:rPr>
            </w:pPr>
            <w:r>
              <w:rPr>
                <w:rFonts w:ascii="Century Gothic" w:hAnsi="Century Gothic"/>
                <w:color w:val="6F6F6F"/>
                <w:sz w:val="20"/>
                <w:szCs w:val="20"/>
              </w:rPr>
              <w:t>Policy regarding intern psychologists</w:t>
            </w:r>
          </w:p>
        </w:tc>
        <w:tc>
          <w:tcPr>
            <w:tcW w:w="1276" w:type="dxa"/>
          </w:tcPr>
          <w:p w14:paraId="45628AC1" w14:textId="53809A0B" w:rsidR="005907A3" w:rsidRDefault="005907A3" w:rsidP="001A6142">
            <w:pPr>
              <w:textAlignment w:val="baseline"/>
              <w:rPr>
                <w:rFonts w:ascii="Century Gothic" w:eastAsia="Times New Roman" w:hAnsi="Century Gothic" w:cs="Times New Roman"/>
                <w:color w:val="6F6F6F"/>
                <w:sz w:val="20"/>
                <w:szCs w:val="20"/>
                <w:lang w:eastAsia="en-ZA"/>
              </w:rPr>
            </w:pPr>
            <w:hyperlink r:id="rId20" w:history="1">
              <w:r w:rsidRPr="005907A3">
                <w:rPr>
                  <w:rStyle w:val="Hyperlink"/>
                  <w:rFonts w:ascii="Century Gothic" w:eastAsia="Times New Roman" w:hAnsi="Century Gothic" w:cs="Times New Roman"/>
                  <w:sz w:val="20"/>
                  <w:szCs w:val="20"/>
                  <w:lang w:eastAsia="en-ZA"/>
                </w:rPr>
                <w:t>Form 160</w:t>
              </w:r>
            </w:hyperlink>
          </w:p>
        </w:tc>
        <w:tc>
          <w:tcPr>
            <w:tcW w:w="3067" w:type="dxa"/>
          </w:tcPr>
          <w:p w14:paraId="7071F6B6" w14:textId="11643B05" w:rsidR="005907A3" w:rsidRDefault="005907A3" w:rsidP="001A6142">
            <w:pPr>
              <w:textAlignment w:val="baseline"/>
              <w:rPr>
                <w:rFonts w:ascii="Century Gothic" w:eastAsia="Times New Roman" w:hAnsi="Century Gothic" w:cs="Times New Roman"/>
                <w:color w:val="6F6F6F"/>
                <w:sz w:val="20"/>
                <w:szCs w:val="20"/>
                <w:lang w:eastAsia="en-ZA"/>
              </w:rPr>
            </w:pPr>
            <w:r>
              <w:rPr>
                <w:rFonts w:ascii="Century Gothic" w:eastAsia="Times New Roman" w:hAnsi="Century Gothic" w:cs="Times New Roman"/>
                <w:color w:val="6F6F6F"/>
                <w:sz w:val="20"/>
                <w:szCs w:val="20"/>
                <w:lang w:eastAsia="en-ZA"/>
              </w:rPr>
              <w:t>Nature of internship, categories, academic prerequisites, professional prerequisites, training organisations obligations, supervisor’s obligations, university’s obligations, intern’s obligations, types of internship</w:t>
            </w:r>
            <w:r w:rsidR="003C5D1F">
              <w:rPr>
                <w:rFonts w:ascii="Century Gothic" w:eastAsia="Times New Roman" w:hAnsi="Century Gothic" w:cs="Times New Roman"/>
                <w:color w:val="6F6F6F"/>
                <w:sz w:val="20"/>
                <w:szCs w:val="20"/>
                <w:lang w:eastAsia="en-ZA"/>
              </w:rPr>
              <w:t xml:space="preserve"> (including specially tailored internship programme)</w:t>
            </w:r>
          </w:p>
        </w:tc>
      </w:tr>
    </w:tbl>
    <w:p w14:paraId="5D943D9D" w14:textId="77777777" w:rsidR="00622ADF" w:rsidRPr="00622ADF" w:rsidRDefault="00622ADF" w:rsidP="00622ADF">
      <w:pPr>
        <w:shd w:val="clear" w:color="auto" w:fill="FFFFFF"/>
        <w:spacing w:after="0" w:line="240" w:lineRule="auto"/>
        <w:textAlignment w:val="baseline"/>
        <w:rPr>
          <w:rFonts w:ascii="Century Gothic" w:eastAsia="Times New Roman" w:hAnsi="Century Gothic" w:cs="Times New Roman"/>
          <w:color w:val="6F6F6F"/>
          <w:sz w:val="20"/>
          <w:szCs w:val="20"/>
          <w:lang w:eastAsia="en-ZA"/>
        </w:rPr>
      </w:pPr>
    </w:p>
    <w:p w14:paraId="69FB76D0" w14:textId="77777777" w:rsidR="00622ADF" w:rsidRDefault="00622ADF"/>
    <w:sectPr w:rsidR="00622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4901"/>
    <w:multiLevelType w:val="multilevel"/>
    <w:tmpl w:val="F9CEDBD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5929"/>
    <w:multiLevelType w:val="hybridMultilevel"/>
    <w:tmpl w:val="8C8433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BC741F"/>
    <w:multiLevelType w:val="hybridMultilevel"/>
    <w:tmpl w:val="234C63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DF"/>
    <w:rsid w:val="001A6142"/>
    <w:rsid w:val="00221364"/>
    <w:rsid w:val="003225ED"/>
    <w:rsid w:val="003A050F"/>
    <w:rsid w:val="003C5D1F"/>
    <w:rsid w:val="005907A3"/>
    <w:rsid w:val="00622ADF"/>
    <w:rsid w:val="007F4E88"/>
    <w:rsid w:val="00985086"/>
    <w:rsid w:val="00B02019"/>
    <w:rsid w:val="00F83B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40C5"/>
  <w15:chartTrackingRefBased/>
  <w15:docId w15:val="{F772A46B-8F05-48A6-BACC-5A282686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2ADF"/>
    <w:rPr>
      <w:b/>
      <w:bCs/>
    </w:rPr>
  </w:style>
  <w:style w:type="paragraph" w:styleId="ListParagraph">
    <w:name w:val="List Paragraph"/>
    <w:basedOn w:val="Normal"/>
    <w:uiPriority w:val="34"/>
    <w:qFormat/>
    <w:rsid w:val="00622ADF"/>
    <w:pPr>
      <w:ind w:left="720"/>
      <w:contextualSpacing/>
    </w:pPr>
  </w:style>
  <w:style w:type="table" w:styleId="TableGrid">
    <w:name w:val="Table Grid"/>
    <w:basedOn w:val="TableNormal"/>
    <w:uiPriority w:val="39"/>
    <w:rsid w:val="006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B09"/>
    <w:rPr>
      <w:color w:val="0563C1" w:themeColor="hyperlink"/>
      <w:u w:val="single"/>
    </w:rPr>
  </w:style>
  <w:style w:type="character" w:styleId="UnresolvedMention">
    <w:name w:val="Unresolved Mention"/>
    <w:basedOn w:val="DefaultParagraphFont"/>
    <w:uiPriority w:val="99"/>
    <w:semiHidden/>
    <w:unhideWhenUsed/>
    <w:rsid w:val="00F83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70972">
      <w:bodyDiv w:val="1"/>
      <w:marLeft w:val="0"/>
      <w:marRight w:val="0"/>
      <w:marTop w:val="0"/>
      <w:marBottom w:val="0"/>
      <w:divBdr>
        <w:top w:val="none" w:sz="0" w:space="0" w:color="auto"/>
        <w:left w:val="none" w:sz="0" w:space="0" w:color="auto"/>
        <w:bottom w:val="none" w:sz="0" w:space="0" w:color="auto"/>
        <w:right w:val="none" w:sz="0" w:space="0" w:color="auto"/>
      </w:divBdr>
      <w:divsChild>
        <w:div w:id="1875997229">
          <w:marLeft w:val="0"/>
          <w:marRight w:val="0"/>
          <w:marTop w:val="0"/>
          <w:marBottom w:val="0"/>
          <w:divBdr>
            <w:top w:val="none" w:sz="0" w:space="0" w:color="auto"/>
            <w:left w:val="none" w:sz="0" w:space="0" w:color="auto"/>
            <w:bottom w:val="none" w:sz="0" w:space="0" w:color="auto"/>
            <w:right w:val="none" w:sz="0" w:space="0" w:color="auto"/>
          </w:divBdr>
          <w:divsChild>
            <w:div w:id="2145585910">
              <w:marLeft w:val="0"/>
              <w:marRight w:val="0"/>
              <w:marTop w:val="0"/>
              <w:marBottom w:val="0"/>
              <w:divBdr>
                <w:top w:val="none" w:sz="0" w:space="0" w:color="auto"/>
                <w:left w:val="none" w:sz="0" w:space="0" w:color="auto"/>
                <w:bottom w:val="none" w:sz="0" w:space="0" w:color="auto"/>
                <w:right w:val="none" w:sz="0" w:space="0" w:color="auto"/>
              </w:divBdr>
            </w:div>
            <w:div w:id="410736012">
              <w:marLeft w:val="0"/>
              <w:marRight w:val="0"/>
              <w:marTop w:val="0"/>
              <w:marBottom w:val="0"/>
              <w:divBdr>
                <w:top w:val="none" w:sz="0" w:space="0" w:color="auto"/>
                <w:left w:val="none" w:sz="0" w:space="0" w:color="auto"/>
                <w:bottom w:val="none" w:sz="0" w:space="0" w:color="auto"/>
                <w:right w:val="none" w:sz="0" w:space="0" w:color="auto"/>
              </w:divBdr>
            </w:div>
          </w:divsChild>
        </w:div>
        <w:div w:id="1460106739">
          <w:marLeft w:val="0"/>
          <w:marRight w:val="0"/>
          <w:marTop w:val="0"/>
          <w:marBottom w:val="0"/>
          <w:divBdr>
            <w:top w:val="none" w:sz="0" w:space="0" w:color="auto"/>
            <w:left w:val="none" w:sz="0" w:space="0" w:color="auto"/>
            <w:bottom w:val="none" w:sz="0" w:space="0" w:color="auto"/>
            <w:right w:val="none" w:sz="0" w:space="0" w:color="auto"/>
          </w:divBdr>
        </w:div>
        <w:div w:id="541287303">
          <w:marLeft w:val="0"/>
          <w:marRight w:val="0"/>
          <w:marTop w:val="0"/>
          <w:marBottom w:val="0"/>
          <w:divBdr>
            <w:top w:val="none" w:sz="0" w:space="0" w:color="auto"/>
            <w:left w:val="none" w:sz="0" w:space="0" w:color="auto"/>
            <w:bottom w:val="none" w:sz="0" w:space="0" w:color="auto"/>
            <w:right w:val="none" w:sz="0" w:space="0" w:color="auto"/>
          </w:divBdr>
        </w:div>
        <w:div w:id="1293171703">
          <w:marLeft w:val="0"/>
          <w:marRight w:val="0"/>
          <w:marTop w:val="0"/>
          <w:marBottom w:val="0"/>
          <w:divBdr>
            <w:top w:val="none" w:sz="0" w:space="0" w:color="auto"/>
            <w:left w:val="none" w:sz="0" w:space="0" w:color="auto"/>
            <w:bottom w:val="none" w:sz="0" w:space="0" w:color="auto"/>
            <w:right w:val="none" w:sz="0" w:space="0" w:color="auto"/>
          </w:divBdr>
        </w:div>
        <w:div w:id="110902290">
          <w:marLeft w:val="0"/>
          <w:marRight w:val="0"/>
          <w:marTop w:val="0"/>
          <w:marBottom w:val="0"/>
          <w:divBdr>
            <w:top w:val="none" w:sz="0" w:space="0" w:color="auto"/>
            <w:left w:val="none" w:sz="0" w:space="0" w:color="auto"/>
            <w:bottom w:val="none" w:sz="0" w:space="0" w:color="auto"/>
            <w:right w:val="none" w:sz="0" w:space="0" w:color="auto"/>
          </w:divBdr>
        </w:div>
        <w:div w:id="165363178">
          <w:marLeft w:val="0"/>
          <w:marRight w:val="0"/>
          <w:marTop w:val="0"/>
          <w:marBottom w:val="0"/>
          <w:divBdr>
            <w:top w:val="none" w:sz="0" w:space="0" w:color="auto"/>
            <w:left w:val="none" w:sz="0" w:space="0" w:color="auto"/>
            <w:bottom w:val="none" w:sz="0" w:space="0" w:color="auto"/>
            <w:right w:val="none" w:sz="0" w:space="0" w:color="auto"/>
          </w:divBdr>
        </w:div>
        <w:div w:id="1422725286">
          <w:marLeft w:val="0"/>
          <w:marRight w:val="0"/>
          <w:marTop w:val="0"/>
          <w:marBottom w:val="0"/>
          <w:divBdr>
            <w:top w:val="none" w:sz="0" w:space="0" w:color="auto"/>
            <w:left w:val="none" w:sz="0" w:space="0" w:color="auto"/>
            <w:bottom w:val="none" w:sz="0" w:space="0" w:color="auto"/>
            <w:right w:val="none" w:sz="0" w:space="0" w:color="auto"/>
          </w:divBdr>
        </w:div>
      </w:divsChild>
    </w:div>
    <w:div w:id="9089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csa.co.za/Uploads/editor/UserFiles/downloads/psych/psycho_policy/form_208.pdf" TargetMode="External"/><Relationship Id="rId13" Type="http://schemas.openxmlformats.org/officeDocument/2006/relationships/hyperlink" Target="http://www.hpcsa.co.za/Uploads/editor/UserFiles/downloads/legislations/acts/childrens_act_38_2005.pdf" TargetMode="External"/><Relationship Id="rId18" Type="http://schemas.openxmlformats.org/officeDocument/2006/relationships/hyperlink" Target="http://www.hpcsa.co.za/Uploads/editor/UserFiles/downloads/legislations/acts/nati_heal_act_61_200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pcsa.co.za/Uploads/editor/UserFiles/downloads/conduct_ethics/rules/generic_ethical_rules/ethical_rules_annexure_12.pdf" TargetMode="External"/><Relationship Id="rId12" Type="http://schemas.openxmlformats.org/officeDocument/2006/relationships/hyperlink" Target="http://www.hpcsa.co.za/Uploads/editor/UserFiles/downloads/legislations/acts/basic_conditions_employ_75_1997.pdf" TargetMode="External"/><Relationship Id="rId17" Type="http://schemas.openxmlformats.org/officeDocument/2006/relationships/hyperlink" Target="http://www.hpcsa.co.za/Uploads/editor/UserFiles/downloads/conduct_ethics/rules/ethical_guidelines_good_practice_hiv.pdf" TargetMode="External"/><Relationship Id="rId2" Type="http://schemas.openxmlformats.org/officeDocument/2006/relationships/styles" Target="styles.xml"/><Relationship Id="rId16" Type="http://schemas.openxmlformats.org/officeDocument/2006/relationships/hyperlink" Target="http://www.hpcsa.co.za/Uploads/editor/UserFiles/downloads/legislations/acts/health_professions_ct_56_1974.pdf" TargetMode="External"/><Relationship Id="rId20" Type="http://schemas.openxmlformats.org/officeDocument/2006/relationships/hyperlink" Target="http://www.hpcsa.co.za/uploads/editor/UserFiles/Form%20160%20%20revFEB%202015.pdf" TargetMode="External"/><Relationship Id="rId1" Type="http://schemas.openxmlformats.org/officeDocument/2006/relationships/numbering" Target="numbering.xml"/><Relationship Id="rId6" Type="http://schemas.openxmlformats.org/officeDocument/2006/relationships/hyperlink" Target="http://www.hpcsa.co.za/Uploads/editor/UserFiles/downloads/psych/List_of_Classified_tests_Board_Notice_155_of_2017.pdf" TargetMode="External"/><Relationship Id="rId11" Type="http://schemas.openxmlformats.org/officeDocument/2006/relationships/hyperlink" Target="http://www.hpcsa.co.za/Uploads/editor/UserFiles/downloads/legislations/acts/child_justice_act_75_2008.pdf" TargetMode="External"/><Relationship Id="rId5" Type="http://schemas.openxmlformats.org/officeDocument/2006/relationships/hyperlink" Target="http://www.hpcsa.co.za/Uploads/editor/UserFiles/downloads/psych/Form_255%20-%20Revised_26%20May%202017.pdf" TargetMode="External"/><Relationship Id="rId15" Type="http://schemas.openxmlformats.org/officeDocument/2006/relationships/hyperlink" Target="http://www.hpcsa.co.za/Uploads/editor/UserFiles/downloads/psych/Form_255_rev_January_2016.pdf" TargetMode="External"/><Relationship Id="rId10" Type="http://schemas.openxmlformats.org/officeDocument/2006/relationships/hyperlink" Target="http://www.hpcsa.co.za/Uploads/editor/UserFiles/downloads/legislations/acts/mental_health_care_act_17_of_2002.pdf" TargetMode="External"/><Relationship Id="rId19" Type="http://schemas.openxmlformats.org/officeDocument/2006/relationships/hyperlink" Target="http://www.hpcsa.co.za/Uploads/editor/UserFiles/downloads/psych/scope_of_profession_of_psychology_sept_2011.pdf" TargetMode="External"/><Relationship Id="rId4" Type="http://schemas.openxmlformats.org/officeDocument/2006/relationships/webSettings" Target="webSettings.xml"/><Relationship Id="rId9" Type="http://schemas.openxmlformats.org/officeDocument/2006/relationships/hyperlink" Target="http://www.hpcsa.co.za/Uploads/editor/UserFiles/downloads/psych/psycho_policy/form_286.pdf" TargetMode="External"/><Relationship Id="rId14" Type="http://schemas.openxmlformats.org/officeDocument/2006/relationships/hyperlink" Target="http://www.hpcsa.co.za/Uploads/editor/UserFiles/downloads/legislations/acts/criminal_procedure_act_51_OF_197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BOTHMA C M</dc:creator>
  <cp:keywords/>
  <dc:description/>
  <cp:lastModifiedBy>BOTHMA C M</cp:lastModifiedBy>
  <cp:revision>3</cp:revision>
  <dcterms:created xsi:type="dcterms:W3CDTF">2018-08-01T14:04:00Z</dcterms:created>
  <dcterms:modified xsi:type="dcterms:W3CDTF">2018-08-01T14:23:00Z</dcterms:modified>
</cp:coreProperties>
</file>